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6AEB6196" w:rsidR="00F3668C" w:rsidRPr="00B56577" w:rsidRDefault="00FF5084" w:rsidP="009E63EB">
            <w:pPr>
              <w:pStyle w:val="BodyTextBold"/>
              <w:rPr>
                <w:rFonts w:ascii="Lato" w:hAnsi="Lato"/>
                <w:b w:val="0"/>
              </w:rPr>
            </w:pPr>
            <w:r>
              <w:rPr>
                <w:rFonts w:ascii="Lato" w:hAnsi="Lato"/>
                <w:b w:val="0"/>
              </w:rPr>
              <w:t xml:space="preserve">Electricity </w:t>
            </w:r>
            <w:proofErr w:type="gramStart"/>
            <w:r>
              <w:rPr>
                <w:rFonts w:ascii="Lato" w:hAnsi="Lato"/>
                <w:b w:val="0"/>
              </w:rPr>
              <w:t>North West</w:t>
            </w:r>
            <w:proofErr w:type="gramEnd"/>
            <w:r>
              <w:rPr>
                <w:rFonts w:ascii="Lato" w:hAnsi="Lato"/>
                <w:b w:val="0"/>
              </w:rPr>
              <w:t xml:space="preserve"> Ltd</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5AC401C2" w:rsidR="0052508C" w:rsidRPr="00B56577" w:rsidRDefault="00FF5084" w:rsidP="009E63EB">
            <w:pPr>
              <w:pStyle w:val="BodyTextBold"/>
              <w:rPr>
                <w:rFonts w:ascii="Lato" w:hAnsi="Lato"/>
                <w:b w:val="0"/>
              </w:rPr>
            </w:pPr>
            <w:r>
              <w:rPr>
                <w:rFonts w:ascii="Lato" w:hAnsi="Lato"/>
                <w:b w:val="0"/>
              </w:rPr>
              <w:t>Abigail Watson</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31AE68C3" w:rsidR="0052508C" w:rsidRPr="00B56577" w:rsidRDefault="00FF5084" w:rsidP="009E63EB">
            <w:pPr>
              <w:pStyle w:val="BodyTextBold"/>
              <w:rPr>
                <w:rFonts w:ascii="Lato" w:hAnsi="Lato"/>
                <w:b w:val="0"/>
              </w:rPr>
            </w:pPr>
            <w:r>
              <w:rPr>
                <w:rFonts w:ascii="Lato" w:hAnsi="Lato"/>
                <w:b w:val="0"/>
              </w:rPr>
              <w:t>Abigail.Watson@enwl.co.uk</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21DB8825" w:rsidR="0052508C" w:rsidRPr="00B56577" w:rsidRDefault="00FF5084" w:rsidP="009E63EB">
            <w:pPr>
              <w:pStyle w:val="BodyTextBold"/>
              <w:rPr>
                <w:rFonts w:ascii="Lato" w:hAnsi="Lato"/>
                <w:b w:val="0"/>
              </w:rPr>
            </w:pPr>
            <w:r w:rsidRPr="00FF5084">
              <w:rPr>
                <w:rFonts w:ascii="Lato" w:hAnsi="Lato"/>
                <w:b w:val="0"/>
              </w:rPr>
              <w:t>07887772315</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049"/>
        <w:gridCol w:w="6870"/>
      </w:tblGrid>
      <w:tr w:rsidR="000B60E4"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lastRenderedPageBreak/>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0B60E4"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3FB26C8E" w14:textId="2F863C0B" w:rsidR="00E346EC" w:rsidRDefault="00FF5084"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r w:rsidR="00216537">
              <w:rPr>
                <w:rFonts w:ascii="Lato" w:hAnsi="Lato"/>
              </w:rPr>
              <w:t>. W</w:t>
            </w:r>
            <w:r w:rsidR="00DE7EED">
              <w:rPr>
                <w:rFonts w:ascii="Lato" w:hAnsi="Lato"/>
              </w:rPr>
              <w:t>e do not agree, for the following reasons:</w:t>
            </w:r>
          </w:p>
          <w:p w14:paraId="08F865C5" w14:textId="4D188783" w:rsidR="00AA63BE" w:rsidRPr="009C325F" w:rsidRDefault="00216537" w:rsidP="00AA63BE">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lang w:eastAsia="en-GB"/>
              </w:rPr>
            </w:pPr>
            <w:r w:rsidRPr="00216537">
              <w:rPr>
                <w:rFonts w:ascii="Lato" w:hAnsi="Lato"/>
                <w:u w:val="single"/>
              </w:rPr>
              <w:t>A s</w:t>
            </w:r>
            <w:r w:rsidR="00AA63BE" w:rsidRPr="00216537">
              <w:rPr>
                <w:rFonts w:ascii="Lato" w:hAnsi="Lato"/>
                <w:u w:val="single"/>
              </w:rPr>
              <w:t>ignificantly altered s</w:t>
            </w:r>
            <w:r w:rsidR="00DE7EED" w:rsidRPr="00216537">
              <w:rPr>
                <w:rFonts w:ascii="Lato" w:hAnsi="Lato"/>
                <w:u w:val="single"/>
              </w:rPr>
              <w:t>cope</w:t>
            </w:r>
            <w:r w:rsidR="00DE7EED" w:rsidRPr="00AA63BE">
              <w:rPr>
                <w:rFonts w:ascii="Lato" w:hAnsi="Lato"/>
              </w:rPr>
              <w:t xml:space="preserve"> - </w:t>
            </w:r>
            <w:r w:rsidR="00E346EC" w:rsidRPr="00AA63BE">
              <w:rPr>
                <w:rFonts w:ascii="Lato" w:hAnsi="Lato"/>
              </w:rPr>
              <w:t xml:space="preserve">The </w:t>
            </w:r>
            <w:r w:rsidR="00AA63BE">
              <w:rPr>
                <w:rFonts w:ascii="Lato" w:hAnsi="Lato"/>
              </w:rPr>
              <w:t xml:space="preserve">original </w:t>
            </w:r>
            <w:r w:rsidR="00AA63BE" w:rsidRPr="00AA63BE">
              <w:rPr>
                <w:rFonts w:ascii="Lato" w:hAnsi="Lato"/>
              </w:rPr>
              <w:t>driver of</w:t>
            </w:r>
            <w:r w:rsidR="00E346EC" w:rsidRPr="00AA63BE">
              <w:rPr>
                <w:rFonts w:ascii="Lato" w:hAnsi="Lato"/>
              </w:rPr>
              <w:t xml:space="preserve"> th</w:t>
            </w:r>
            <w:r w:rsidR="00AA63BE" w:rsidRPr="00AA63BE">
              <w:rPr>
                <w:rFonts w:ascii="Lato" w:hAnsi="Lato"/>
              </w:rPr>
              <w:t>is</w:t>
            </w:r>
            <w:r w:rsidR="00E346EC" w:rsidRPr="00AA63BE">
              <w:rPr>
                <w:rFonts w:ascii="Lato" w:hAnsi="Lato"/>
              </w:rPr>
              <w:t xml:space="preserve"> modification </w:t>
            </w:r>
            <w:r w:rsidR="00AA63BE" w:rsidRPr="00AA63BE">
              <w:rPr>
                <w:rFonts w:ascii="Lato" w:hAnsi="Lato"/>
              </w:rPr>
              <w:t>has significantly altered sin</w:t>
            </w:r>
            <w:r w:rsidR="001A3670">
              <w:rPr>
                <w:rFonts w:ascii="Lato" w:hAnsi="Lato"/>
              </w:rPr>
              <w:t>c</w:t>
            </w:r>
            <w:r w:rsidR="00AA63BE" w:rsidRPr="00AA63BE">
              <w:rPr>
                <w:rFonts w:ascii="Lato" w:hAnsi="Lato"/>
              </w:rPr>
              <w:t xml:space="preserve">e it was raised in September 2022. </w:t>
            </w:r>
            <w:hyperlink r:id="rId14" w:history="1">
              <w:r w:rsidR="00AA63BE" w:rsidRPr="009C325F">
                <w:rPr>
                  <w:rFonts w:ascii="Lato" w:eastAsia="Times New Roman" w:hAnsi="Lato" w:cs="Aptos"/>
                  <w:color w:val="467886"/>
                  <w:szCs w:val="22"/>
                  <w:u w:val="single"/>
                </w:rPr>
                <w:t>DP218 ‘Review of the SEC Charging Methodology’ Modification Report V0.2 15 December 2022</w:t>
              </w:r>
            </w:hyperlink>
            <w:r w:rsidR="00AA63BE" w:rsidRPr="00AA63BE">
              <w:rPr>
                <w:rFonts w:ascii="Lato" w:eastAsia="Times New Roman" w:hAnsi="Lato" w:cs="Aptos"/>
                <w:color w:val="000000"/>
                <w:szCs w:val="22"/>
              </w:rPr>
              <w:t xml:space="preserve"> -stated the original trigger for the DP218 as “</w:t>
            </w:r>
            <w:r w:rsidR="00AA63BE" w:rsidRPr="00AA63BE">
              <w:rPr>
                <w:rFonts w:ascii="Lato" w:eastAsia="Times New Roman" w:hAnsi="Lato" w:cs="Aptos"/>
                <w:i/>
                <w:iCs/>
                <w:color w:val="000000"/>
                <w:szCs w:val="22"/>
              </w:rPr>
              <w:t>The Smart Energy Code Company (</w:t>
            </w:r>
            <w:proofErr w:type="spellStart"/>
            <w:r w:rsidR="00AA63BE" w:rsidRPr="00AA63BE">
              <w:rPr>
                <w:rFonts w:ascii="Lato" w:eastAsia="Times New Roman" w:hAnsi="Lato" w:cs="Aptos"/>
                <w:i/>
                <w:iCs/>
                <w:color w:val="000000"/>
                <w:szCs w:val="22"/>
              </w:rPr>
              <w:t>SECCo</w:t>
            </w:r>
            <w:proofErr w:type="spellEnd"/>
            <w:r w:rsidR="00AA63BE" w:rsidRPr="00AA63BE">
              <w:rPr>
                <w:rFonts w:ascii="Lato" w:eastAsia="Times New Roman" w:hAnsi="Lato" w:cs="Aptos"/>
                <w:i/>
                <w:iCs/>
                <w:color w:val="000000"/>
                <w:szCs w:val="22"/>
              </w:rPr>
              <w:t xml:space="preserve">) Board has been investigating how much work is generated by Other Users and agreed that further investigation into the current charging arrangements would be beneficial. To support this investigation, the DCC has raised this modification at the request of the </w:t>
            </w:r>
            <w:proofErr w:type="spellStart"/>
            <w:r w:rsidR="00AA63BE" w:rsidRPr="00AA63BE">
              <w:rPr>
                <w:rFonts w:ascii="Lato" w:eastAsia="Times New Roman" w:hAnsi="Lato" w:cs="Aptos"/>
                <w:i/>
                <w:iCs/>
                <w:color w:val="000000"/>
                <w:szCs w:val="22"/>
              </w:rPr>
              <w:t>SECCo</w:t>
            </w:r>
            <w:proofErr w:type="spellEnd"/>
            <w:r w:rsidR="00AA63BE" w:rsidRPr="00AA63BE">
              <w:rPr>
                <w:rFonts w:ascii="Lato" w:eastAsia="Times New Roman" w:hAnsi="Lato" w:cs="Aptos"/>
                <w:i/>
                <w:iCs/>
                <w:color w:val="000000"/>
                <w:szCs w:val="22"/>
              </w:rPr>
              <w:t xml:space="preserve"> Board and SECAS, to holistically review the DCC Charging methodology and determine whether any change should be taken forward</w:t>
            </w:r>
            <w:r w:rsidR="00AA63BE" w:rsidRPr="00AA63BE">
              <w:rPr>
                <w:rFonts w:ascii="Lato" w:eastAsia="Times New Roman" w:hAnsi="Lato" w:cs="Aptos"/>
                <w:color w:val="000000"/>
                <w:szCs w:val="22"/>
              </w:rPr>
              <w:t>.”</w:t>
            </w:r>
            <w:r w:rsidR="00AA63BE">
              <w:rPr>
                <w:rFonts w:ascii="Lato" w:eastAsia="Times New Roman" w:hAnsi="Lato" w:cs="Aptos"/>
                <w:color w:val="000000"/>
                <w:szCs w:val="22"/>
              </w:rPr>
              <w:t xml:space="preserve"> As such the focus has</w:t>
            </w:r>
            <w:r w:rsidR="001A3670">
              <w:rPr>
                <w:rFonts w:ascii="Lato" w:eastAsia="Times New Roman" w:hAnsi="Lato" w:cs="Aptos"/>
                <w:color w:val="000000"/>
                <w:szCs w:val="22"/>
              </w:rPr>
              <w:t xml:space="preserve"> been de-prioritised</w:t>
            </w:r>
            <w:r w:rsidR="00AA63BE">
              <w:rPr>
                <w:rFonts w:ascii="Lato" w:eastAsia="Times New Roman" w:hAnsi="Lato" w:cs="Aptos"/>
                <w:color w:val="000000"/>
                <w:szCs w:val="22"/>
              </w:rPr>
              <w:t xml:space="preserve"> from a </w:t>
            </w:r>
            <w:proofErr w:type="spellStart"/>
            <w:r w:rsidR="00AA63BE">
              <w:rPr>
                <w:rFonts w:ascii="Lato" w:eastAsia="Times New Roman" w:hAnsi="Lato" w:cs="Aptos"/>
                <w:color w:val="000000"/>
                <w:szCs w:val="22"/>
              </w:rPr>
              <w:t>SECC</w:t>
            </w:r>
            <w:r>
              <w:rPr>
                <w:rFonts w:ascii="Lato" w:eastAsia="Times New Roman" w:hAnsi="Lato" w:cs="Aptos"/>
                <w:color w:val="000000"/>
                <w:szCs w:val="22"/>
              </w:rPr>
              <w:t>o</w:t>
            </w:r>
            <w:proofErr w:type="spellEnd"/>
            <w:r w:rsidR="00AA63BE">
              <w:rPr>
                <w:rFonts w:ascii="Lato" w:eastAsia="Times New Roman" w:hAnsi="Lato" w:cs="Aptos"/>
                <w:color w:val="000000"/>
                <w:szCs w:val="22"/>
              </w:rPr>
              <w:t xml:space="preserve"> board triggered investigation into understanding if Other Users will have an impact on the need for additional network capacity (Change 2) </w:t>
            </w:r>
            <w:r w:rsidR="001A3670">
              <w:rPr>
                <w:rFonts w:ascii="Lato" w:eastAsia="Times New Roman" w:hAnsi="Lato" w:cs="Aptos"/>
                <w:color w:val="000000"/>
                <w:szCs w:val="22"/>
              </w:rPr>
              <w:t>to a wider proposal for updating the weighting factors used to apply charges for core Users</w:t>
            </w:r>
            <w:r>
              <w:rPr>
                <w:rFonts w:ascii="Lato" w:eastAsia="Times New Roman" w:hAnsi="Lato" w:cs="Aptos"/>
                <w:color w:val="000000"/>
                <w:szCs w:val="22"/>
              </w:rPr>
              <w:t xml:space="preserve"> </w:t>
            </w:r>
            <w:r w:rsidR="001A3670">
              <w:rPr>
                <w:rFonts w:ascii="Lato" w:eastAsia="Times New Roman" w:hAnsi="Lato" w:cs="Aptos"/>
                <w:color w:val="000000"/>
                <w:szCs w:val="22"/>
              </w:rPr>
              <w:t xml:space="preserve">(Change 1), </w:t>
            </w:r>
          </w:p>
          <w:p w14:paraId="070C0680" w14:textId="77777777" w:rsidR="00216537" w:rsidRDefault="00216537" w:rsidP="00216537">
            <w:pPr>
              <w:pStyle w:val="ListParagraph"/>
              <w:cnfStyle w:val="000000000000" w:firstRow="0" w:lastRow="0" w:firstColumn="0" w:lastColumn="0" w:oddVBand="0" w:evenVBand="0" w:oddHBand="0" w:evenHBand="0" w:firstRowFirstColumn="0" w:firstRowLastColumn="0" w:lastRowFirstColumn="0" w:lastRowLastColumn="0"/>
              <w:rPr>
                <w:rFonts w:ascii="Lato" w:hAnsi="Lato"/>
              </w:rPr>
            </w:pPr>
          </w:p>
          <w:p w14:paraId="375C17D6" w14:textId="51ABDC33" w:rsidR="00312F3A" w:rsidRPr="00216537" w:rsidRDefault="001A3670" w:rsidP="00216537">
            <w:pPr>
              <w:pStyle w:val="ListParagraph"/>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lang w:eastAsia="en-GB"/>
              </w:rPr>
            </w:pPr>
            <w:r w:rsidRPr="00216537">
              <w:rPr>
                <w:rFonts w:ascii="Lato" w:hAnsi="Lato"/>
              </w:rPr>
              <w:t>We recomme</w:t>
            </w:r>
            <w:r w:rsidR="00743E0F" w:rsidRPr="00216537">
              <w:rPr>
                <w:rFonts w:ascii="Lato" w:hAnsi="Lato"/>
              </w:rPr>
              <w:t>nd</w:t>
            </w:r>
            <w:r w:rsidRPr="00216537">
              <w:rPr>
                <w:rFonts w:ascii="Lato" w:hAnsi="Lato"/>
              </w:rPr>
              <w:t xml:space="preserve"> the DCC, SEC Panel, and SECAS separate the DCC annual charging review (Change 1) which is a requirement under the DCC licence from the original scope of this modification (Change 2). </w:t>
            </w:r>
            <w:r w:rsidR="00216537">
              <w:rPr>
                <w:rFonts w:ascii="Lato" w:hAnsi="Lato"/>
              </w:rPr>
              <w:t xml:space="preserve"> This would aid with decision making on next steps.</w:t>
            </w:r>
          </w:p>
          <w:p w14:paraId="4A3CA015" w14:textId="0792EBA3" w:rsidR="004D43E2" w:rsidRPr="00216537" w:rsidRDefault="001A3670" w:rsidP="004D43E2">
            <w:pPr>
              <w:numPr>
                <w:ilvl w:val="0"/>
                <w:numId w:val="41"/>
              </w:numPr>
              <w:spacing w:before="0" w:after="0" w:line="276" w:lineRule="auto"/>
              <w:ind w:left="714" w:hanging="357"/>
              <w:contextualSpacing/>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lang w:eastAsia="en-GB"/>
              </w:rPr>
            </w:pPr>
            <w:r w:rsidRPr="00216537">
              <w:rPr>
                <w:rFonts w:ascii="Lato" w:eastAsia="Times New Roman" w:hAnsi="Lato" w:cs="Aptos"/>
                <w:szCs w:val="22"/>
                <w:u w:val="single"/>
              </w:rPr>
              <w:t xml:space="preserve">Lack of transparency data/evidence </w:t>
            </w:r>
            <w:r w:rsidR="004D43E2" w:rsidRPr="00216537">
              <w:rPr>
                <w:rFonts w:ascii="Lato" w:eastAsia="Times New Roman" w:hAnsi="Lato" w:cs="Aptos"/>
                <w:szCs w:val="22"/>
                <w:u w:val="single"/>
              </w:rPr>
              <w:t>for the rational for Change 1 –</w:t>
            </w:r>
            <w:r w:rsidR="004D43E2">
              <w:rPr>
                <w:rFonts w:ascii="Lato" w:eastAsia="Times New Roman" w:hAnsi="Lato" w:cs="Aptos"/>
                <w:szCs w:val="22"/>
              </w:rPr>
              <w:t xml:space="preserve"> </w:t>
            </w:r>
            <w:r w:rsidR="004D43E2" w:rsidRPr="00216537">
              <w:rPr>
                <w:rFonts w:ascii="Lato" w:eastAsia="Times New Roman" w:hAnsi="Lato" w:cs="Aptos"/>
                <w:color w:val="000000"/>
                <w:szCs w:val="22"/>
              </w:rPr>
              <w:t>Network Operators have requested sight of the underpinning data which supports DCC’s illustrative re-weighting of the weighting factors including at a</w:t>
            </w:r>
            <w:r w:rsidR="00216537">
              <w:rPr>
                <w:rFonts w:ascii="Lato" w:eastAsia="Times New Roman" w:hAnsi="Lato" w:cs="Aptos"/>
                <w:color w:val="000000"/>
                <w:szCs w:val="22"/>
              </w:rPr>
              <w:t>n</w:t>
            </w:r>
            <w:r w:rsidR="004D43E2" w:rsidRPr="00216537">
              <w:rPr>
                <w:rFonts w:ascii="Lato" w:eastAsia="Times New Roman" w:hAnsi="Lato" w:cs="Aptos"/>
                <w:color w:val="000000"/>
                <w:szCs w:val="22"/>
              </w:rPr>
              <w:t xml:space="preserve"> ENA Smart Metering Steering Group meeting on the 7 January and DCC webinar on 13 January. It is our </w:t>
            </w:r>
            <w:r w:rsidR="004D43E2" w:rsidRPr="00216537">
              <w:rPr>
                <w:rFonts w:ascii="Lato" w:eastAsia="Times New Roman" w:hAnsi="Lato" w:cs="Aptos"/>
                <w:szCs w:val="22"/>
              </w:rPr>
              <w:t xml:space="preserve">understanding that DCC </w:t>
            </w:r>
            <w:r w:rsidR="004D43E2" w:rsidRPr="00216537">
              <w:rPr>
                <w:rFonts w:ascii="Lato" w:eastAsia="Times New Roman" w:hAnsi="Lato" w:cs="Aptos"/>
                <w:color w:val="000000"/>
                <w:szCs w:val="22"/>
              </w:rPr>
              <w:t xml:space="preserve">do not intend to share any further information, Network </w:t>
            </w:r>
            <w:r w:rsidR="00743E0F" w:rsidRPr="00216537">
              <w:rPr>
                <w:rFonts w:ascii="Lato" w:eastAsia="Times New Roman" w:hAnsi="Lato" w:cs="Aptos"/>
                <w:color w:val="000000"/>
                <w:szCs w:val="22"/>
              </w:rPr>
              <w:lastRenderedPageBreak/>
              <w:t xml:space="preserve">Operators </w:t>
            </w:r>
            <w:r w:rsidR="00743E0F" w:rsidRPr="00216537">
              <w:rPr>
                <w:rFonts w:ascii="Lato" w:eastAsia="Times New Roman" w:hAnsi="Lato" w:cs="Aptos"/>
                <w:szCs w:val="22"/>
              </w:rPr>
              <w:t>have</w:t>
            </w:r>
            <w:r w:rsidR="004D43E2" w:rsidRPr="00216537">
              <w:rPr>
                <w:rFonts w:ascii="Lato" w:eastAsia="Times New Roman" w:hAnsi="Lato" w:cs="Aptos"/>
                <w:szCs w:val="22"/>
              </w:rPr>
              <w:t xml:space="preserve"> a pragmatic view on the need for fixed charges for core Users and are not averse to the re-distribution of DCC costs</w:t>
            </w:r>
            <w:r w:rsidR="004D43E2" w:rsidRPr="00216537">
              <w:rPr>
                <w:rFonts w:ascii="Lato" w:eastAsia="Times New Roman" w:hAnsi="Lato" w:cs="Aptos"/>
                <w:color w:val="FF0000"/>
                <w:szCs w:val="22"/>
              </w:rPr>
              <w:t>,</w:t>
            </w:r>
            <w:r w:rsidR="004D43E2" w:rsidRPr="00216537">
              <w:rPr>
                <w:rFonts w:ascii="Lato" w:eastAsia="Times New Roman" w:hAnsi="Lato" w:cs="Aptos"/>
                <w:szCs w:val="22"/>
              </w:rPr>
              <w:t xml:space="preserve"> if accompanied by transparent evidence and a clear business rationale.  </w:t>
            </w:r>
          </w:p>
          <w:p w14:paraId="407EC133" w14:textId="7FAA94CD" w:rsidR="004D43E2" w:rsidRPr="00216537" w:rsidRDefault="004D43E2" w:rsidP="004D43E2">
            <w:pPr>
              <w:spacing w:before="0" w:after="0" w:line="276" w:lineRule="auto"/>
              <w:ind w:left="714"/>
              <w:contextualSpacing/>
              <w:cnfStyle w:val="000000000000" w:firstRow="0" w:lastRow="0" w:firstColumn="0" w:lastColumn="0" w:oddVBand="0" w:evenVBand="0" w:oddHBand="0" w:evenHBand="0" w:firstRowFirstColumn="0" w:firstRowLastColumn="0" w:lastRowFirstColumn="0" w:lastRowLastColumn="0"/>
              <w:rPr>
                <w:rFonts w:ascii="Lato" w:eastAsia="Times New Roman" w:hAnsi="Lato" w:cs="Aptos"/>
                <w:color w:val="000000"/>
                <w:szCs w:val="22"/>
              </w:rPr>
            </w:pPr>
            <w:r w:rsidRPr="00216537">
              <w:rPr>
                <w:rFonts w:ascii="Lato" w:eastAsia="Times New Roman" w:hAnsi="Lato" w:cs="Aptos"/>
                <w:color w:val="000000"/>
                <w:szCs w:val="22"/>
              </w:rPr>
              <w:t>Network Operators as a materially impacted party</w:t>
            </w:r>
            <w:r w:rsidR="00216537">
              <w:rPr>
                <w:rFonts w:ascii="Lato" w:eastAsia="Times New Roman" w:hAnsi="Lato" w:cs="Aptos"/>
                <w:color w:val="000000"/>
                <w:szCs w:val="22"/>
              </w:rPr>
              <w:t xml:space="preserve">, </w:t>
            </w:r>
            <w:r w:rsidRPr="00216537">
              <w:rPr>
                <w:rFonts w:ascii="Lato" w:eastAsia="Times New Roman" w:hAnsi="Lato" w:cs="Aptos"/>
                <w:color w:val="000000"/>
                <w:szCs w:val="22"/>
              </w:rPr>
              <w:t>have no transparency of the</w:t>
            </w:r>
            <w:r w:rsidR="00216537">
              <w:rPr>
                <w:rFonts w:ascii="Lato" w:eastAsia="Times New Roman" w:hAnsi="Lato" w:cs="Aptos"/>
                <w:color w:val="000000"/>
                <w:szCs w:val="22"/>
              </w:rPr>
              <w:t xml:space="preserve"> forecasting</w:t>
            </w:r>
            <w:r w:rsidRPr="00216537">
              <w:rPr>
                <w:rFonts w:ascii="Lato" w:eastAsia="Times New Roman" w:hAnsi="Lato" w:cs="Aptos"/>
                <w:color w:val="000000"/>
                <w:szCs w:val="22"/>
              </w:rPr>
              <w:t xml:space="preserve"> evidence which would underpin the business case for Change 1 proposals. We are concerned that this modification proposal could be approved by the SEC Change Panel in absence of a business rationale and where the evidence has not been shared with SEC parties.  </w:t>
            </w:r>
          </w:p>
          <w:p w14:paraId="3BB6758F" w14:textId="77777777" w:rsidR="004D43E2" w:rsidRPr="00216537" w:rsidRDefault="004D43E2" w:rsidP="004D43E2">
            <w:pPr>
              <w:spacing w:before="0" w:after="0" w:line="276" w:lineRule="auto"/>
              <w:ind w:left="714"/>
              <w:contextualSpacing/>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rPr>
            </w:pPr>
          </w:p>
          <w:p w14:paraId="61E4A098" w14:textId="59B0E112" w:rsidR="004D43E2" w:rsidRPr="00216537" w:rsidRDefault="004D43E2" w:rsidP="00216537">
            <w:pPr>
              <w:spacing w:before="0" w:after="0" w:line="276" w:lineRule="auto"/>
              <w:ind w:left="714"/>
              <w:contextualSpacing/>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lang w:eastAsia="en-GB"/>
              </w:rPr>
            </w:pPr>
            <w:r w:rsidRPr="00216537">
              <w:rPr>
                <w:rFonts w:ascii="Lato" w:eastAsia="Times New Roman" w:hAnsi="Lato" w:cs="Aptos"/>
                <w:color w:val="000000"/>
                <w:szCs w:val="22"/>
              </w:rPr>
              <w:t>W</w:t>
            </w:r>
            <w:r w:rsidR="00743E0F" w:rsidRPr="00216537">
              <w:rPr>
                <w:rFonts w:ascii="Lato" w:eastAsia="Times New Roman" w:hAnsi="Lato" w:cs="Aptos"/>
                <w:color w:val="000000"/>
                <w:szCs w:val="22"/>
              </w:rPr>
              <w:t xml:space="preserve">e recommend </w:t>
            </w:r>
            <w:r w:rsidRPr="00216537">
              <w:rPr>
                <w:rFonts w:ascii="Lato" w:eastAsia="Times New Roman" w:hAnsi="Lato" w:cs="Aptos"/>
                <w:color w:val="000000"/>
                <w:szCs w:val="22"/>
              </w:rPr>
              <w:t>the DCC collaboratively work with Network Op</w:t>
            </w:r>
            <w:r w:rsidR="00743E0F" w:rsidRPr="00216537">
              <w:rPr>
                <w:rFonts w:ascii="Lato" w:eastAsia="Times New Roman" w:hAnsi="Lato" w:cs="Aptos"/>
                <w:color w:val="000000"/>
                <w:szCs w:val="22"/>
              </w:rPr>
              <w:t>erator</w:t>
            </w:r>
            <w:r w:rsidRPr="00216537">
              <w:rPr>
                <w:rFonts w:ascii="Lato" w:eastAsia="Times New Roman" w:hAnsi="Lato" w:cs="Aptos"/>
                <w:color w:val="000000"/>
                <w:szCs w:val="22"/>
              </w:rPr>
              <w:t>s (via ENA</w:t>
            </w:r>
            <w:r w:rsidRPr="00216537">
              <w:rPr>
                <w:rFonts w:ascii="Lato" w:eastAsia="Times New Roman" w:hAnsi="Lato" w:cs="Aptos"/>
                <w:szCs w:val="22"/>
              </w:rPr>
              <w:t>’s</w:t>
            </w:r>
            <w:r w:rsidRPr="00216537">
              <w:rPr>
                <w:rFonts w:ascii="Lato" w:eastAsia="Times New Roman" w:hAnsi="Lato" w:cs="Aptos"/>
                <w:color w:val="000000"/>
                <w:szCs w:val="22"/>
              </w:rPr>
              <w:t xml:space="preserve"> Smart Metering Steering Group) on their N</w:t>
            </w:r>
            <w:r w:rsidR="00743E0F" w:rsidRPr="00216537">
              <w:rPr>
                <w:rFonts w:ascii="Lato" w:eastAsia="Times New Roman" w:hAnsi="Lato" w:cs="Aptos"/>
                <w:color w:val="000000"/>
                <w:szCs w:val="22"/>
              </w:rPr>
              <w:t xml:space="preserve">etwork Operating </w:t>
            </w:r>
            <w:r w:rsidRPr="00216537">
              <w:rPr>
                <w:rFonts w:ascii="Lato" w:eastAsia="Times New Roman" w:hAnsi="Lato" w:cs="Aptos"/>
                <w:color w:val="000000"/>
                <w:szCs w:val="22"/>
              </w:rPr>
              <w:t xml:space="preserve">forecasting for Change 1. This approach successfully worked for the refinement and implementation of </w:t>
            </w:r>
            <w:hyperlink r:id="rId15" w:history="1">
              <w:r w:rsidRPr="00216537">
                <w:rPr>
                  <w:rFonts w:ascii="Lato" w:eastAsia="Times New Roman" w:hAnsi="Lato" w:cs="Aptos"/>
                  <w:color w:val="000000"/>
                  <w:szCs w:val="22"/>
                  <w:u w:val="single"/>
                </w:rPr>
                <w:t>SEC Modification MP096 ‘DNO Power Outage Alerts’.</w:t>
              </w:r>
            </w:hyperlink>
            <w:r w:rsidRPr="00216537">
              <w:rPr>
                <w:rFonts w:ascii="Lato" w:eastAsia="Times New Roman" w:hAnsi="Lato" w:cs="Aptos"/>
                <w:color w:val="000000"/>
                <w:szCs w:val="22"/>
              </w:rPr>
              <w:t xml:space="preserve"> N</w:t>
            </w:r>
            <w:r w:rsidR="00743E0F" w:rsidRPr="00216537">
              <w:rPr>
                <w:rFonts w:ascii="Lato" w:eastAsia="Times New Roman" w:hAnsi="Lato" w:cs="Aptos"/>
                <w:color w:val="000000"/>
                <w:szCs w:val="22"/>
              </w:rPr>
              <w:t xml:space="preserve">etwork Operators </w:t>
            </w:r>
            <w:r w:rsidRPr="00216537">
              <w:rPr>
                <w:rFonts w:ascii="Lato" w:eastAsia="Times New Roman" w:hAnsi="Lato" w:cs="Aptos"/>
                <w:color w:val="000000"/>
                <w:szCs w:val="22"/>
              </w:rPr>
              <w:t xml:space="preserve"> are specifically asking for sight of the evidence: data/modelling factors which underpins the DCC forecast that DNO will represent 40% share of DCC traffic by 2026 and to agree those modelling factors with DCC. Our understanding</w:t>
            </w:r>
            <w:r w:rsidRPr="00216537">
              <w:rPr>
                <w:rFonts w:ascii="Lato" w:eastAsia="Times New Roman" w:hAnsi="Lato" w:cs="Aptos"/>
                <w:szCs w:val="22"/>
              </w:rPr>
              <w:t xml:space="preserve"> </w:t>
            </w:r>
            <w:r w:rsidR="00743E0F" w:rsidRPr="00216537">
              <w:rPr>
                <w:rFonts w:ascii="Lato" w:eastAsia="Times New Roman" w:hAnsi="Lato" w:cs="Aptos"/>
                <w:szCs w:val="22"/>
              </w:rPr>
              <w:t xml:space="preserve">is </w:t>
            </w:r>
            <w:r w:rsidRPr="00216537">
              <w:rPr>
                <w:rFonts w:ascii="Lato" w:eastAsia="Times New Roman" w:hAnsi="Lato" w:cs="Aptos"/>
                <w:szCs w:val="22"/>
              </w:rPr>
              <w:t>that</w:t>
            </w:r>
            <w:r w:rsidRPr="00216537">
              <w:rPr>
                <w:rFonts w:ascii="Lato" w:eastAsia="Times New Roman" w:hAnsi="Lato" w:cs="Aptos"/>
                <w:color w:val="000000"/>
                <w:szCs w:val="22"/>
              </w:rPr>
              <w:t xml:space="preserve"> </w:t>
            </w:r>
            <w:r w:rsidR="00743E0F" w:rsidRPr="00216537">
              <w:rPr>
                <w:rFonts w:ascii="Lato" w:eastAsia="Times New Roman" w:hAnsi="Lato" w:cs="Aptos"/>
                <w:color w:val="000000"/>
                <w:szCs w:val="22"/>
              </w:rPr>
              <w:t xml:space="preserve">this </w:t>
            </w:r>
            <w:r w:rsidRPr="00216537">
              <w:rPr>
                <w:rFonts w:ascii="Lato" w:eastAsia="Times New Roman" w:hAnsi="Lato" w:cs="Aptos"/>
                <w:color w:val="000000"/>
                <w:szCs w:val="22"/>
              </w:rPr>
              <w:t>evidence (even though DCC acknowledged it is illustrative) underpins the DCC</w:t>
            </w:r>
            <w:r w:rsidR="00743E0F" w:rsidRPr="00216537">
              <w:rPr>
                <w:rFonts w:ascii="Lato" w:eastAsia="Times New Roman" w:hAnsi="Lato" w:cs="Aptos"/>
                <w:color w:val="000000"/>
                <w:szCs w:val="22"/>
              </w:rPr>
              <w:t xml:space="preserve"> Change 1</w:t>
            </w:r>
            <w:r w:rsidRPr="00216537">
              <w:rPr>
                <w:rFonts w:ascii="Lato" w:eastAsia="Times New Roman" w:hAnsi="Lato" w:cs="Aptos"/>
                <w:color w:val="000000"/>
                <w:szCs w:val="22"/>
              </w:rPr>
              <w:t xml:space="preserve"> proposals to change the weighting</w:t>
            </w:r>
            <w:r w:rsidR="00743E0F" w:rsidRPr="00216537">
              <w:rPr>
                <w:rFonts w:ascii="Lato" w:eastAsia="Times New Roman" w:hAnsi="Lato" w:cs="Aptos"/>
                <w:color w:val="000000"/>
                <w:szCs w:val="22"/>
              </w:rPr>
              <w:t xml:space="preserve"> factors</w:t>
            </w:r>
            <w:r w:rsidRPr="00216537">
              <w:rPr>
                <w:rFonts w:ascii="Lato" w:eastAsia="Times New Roman" w:hAnsi="Lato" w:cs="Aptos"/>
                <w:color w:val="000000"/>
                <w:szCs w:val="22"/>
              </w:rPr>
              <w:t xml:space="preserve"> </w:t>
            </w:r>
            <w:r w:rsidR="00743E0F" w:rsidRPr="00216537">
              <w:rPr>
                <w:rFonts w:ascii="Lato" w:eastAsia="Times New Roman" w:hAnsi="Lato" w:cs="Aptos"/>
                <w:color w:val="000000"/>
                <w:szCs w:val="22"/>
              </w:rPr>
              <w:t>charging principles.</w:t>
            </w:r>
          </w:p>
          <w:p w14:paraId="39EC77D8" w14:textId="1AF1DE5B" w:rsidR="004D43E2" w:rsidRPr="00216537" w:rsidRDefault="004D43E2" w:rsidP="009C325F">
            <w:pPr>
              <w:spacing w:before="0" w:after="0" w:line="276" w:lineRule="auto"/>
              <w:ind w:left="714"/>
              <w:contextualSpacing/>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u w:val="single"/>
                <w:lang w:eastAsia="en-GB"/>
              </w:rPr>
            </w:pPr>
          </w:p>
          <w:p w14:paraId="6647FA10" w14:textId="59C695AC" w:rsidR="001A3670" w:rsidRPr="009C325F" w:rsidRDefault="001A3670" w:rsidP="009C325F">
            <w:pPr>
              <w:cnfStyle w:val="000000000000" w:firstRow="0" w:lastRow="0" w:firstColumn="0" w:lastColumn="0" w:oddVBand="0" w:evenVBand="0" w:oddHBand="0" w:evenHBand="0" w:firstRowFirstColumn="0" w:firstRowLastColumn="0" w:lastRowFirstColumn="0" w:lastRowLastColumn="0"/>
              <w:rPr>
                <w:rFonts w:ascii="Lato" w:eastAsia="Times New Roman" w:hAnsi="Lato" w:cs="Aptos"/>
                <w:szCs w:val="22"/>
                <w:lang w:eastAsia="en-GB"/>
              </w:rPr>
            </w:pPr>
          </w:p>
        </w:tc>
      </w:tr>
      <w:tr w:rsidR="000B60E4"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77DAA443" w14:textId="77777777" w:rsidR="00312F3A" w:rsidRDefault="00812636" w:rsidP="00312F3A">
            <w:pPr>
              <w:pStyle w:val="TableText-Left"/>
              <w:spacing w:line="276" w:lineRule="auto"/>
              <w:jc w:val="center"/>
              <w:rPr>
                <w:rFonts w:ascii="Lato" w:hAnsi="Lato"/>
                <w:b w:val="0"/>
              </w:rPr>
            </w:pPr>
            <w:r w:rsidRPr="00B56577">
              <w:rPr>
                <w:rFonts w:ascii="Lato" w:hAnsi="Lato"/>
                <w:color w:val="auto"/>
              </w:rPr>
              <w:lastRenderedPageBreak/>
              <w:t>Q2</w:t>
            </w:r>
          </w:p>
          <w:p w14:paraId="1EFB4CC4" w14:textId="3425F089" w:rsidR="00E346EC" w:rsidRPr="00B56577" w:rsidRDefault="00E346EC" w:rsidP="00312F3A">
            <w:pPr>
              <w:pStyle w:val="TableText-Left"/>
              <w:spacing w:line="276" w:lineRule="auto"/>
              <w:jc w:val="center"/>
              <w:rPr>
                <w:rFonts w:ascii="Lato" w:hAnsi="Lato"/>
                <w:color w:val="auto"/>
              </w:rPr>
            </w:pP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653D1E03" w14:textId="330C6906" w:rsidR="00FF5084" w:rsidRDefault="00FF5084" w:rsidP="00FF508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r w:rsidR="00743E0F">
              <w:rPr>
                <w:rFonts w:ascii="Lato" w:hAnsi="Lato"/>
              </w:rPr>
              <w:t>.</w:t>
            </w:r>
            <w:r w:rsidR="001434E7">
              <w:rPr>
                <w:rFonts w:ascii="Lato" w:hAnsi="Lato"/>
              </w:rPr>
              <w:t xml:space="preserve"> If this modification is </w:t>
            </w:r>
            <w:proofErr w:type="gramStart"/>
            <w:r w:rsidR="001434E7">
              <w:rPr>
                <w:rFonts w:ascii="Lato" w:hAnsi="Lato"/>
              </w:rPr>
              <w:t>approved</w:t>
            </w:r>
            <w:proofErr w:type="gramEnd"/>
            <w:r w:rsidR="001434E7">
              <w:rPr>
                <w:rFonts w:ascii="Lato" w:hAnsi="Lato"/>
              </w:rPr>
              <w:t xml:space="preserve"> it could result in the r</w:t>
            </w:r>
            <w:r w:rsidR="00743E0F">
              <w:rPr>
                <w:rFonts w:ascii="Lato" w:hAnsi="Lato"/>
              </w:rPr>
              <w:t>e-</w:t>
            </w:r>
            <w:r w:rsidR="001434E7">
              <w:rPr>
                <w:rFonts w:ascii="Lato" w:hAnsi="Lato"/>
              </w:rPr>
              <w:t>distribution of</w:t>
            </w:r>
            <w:r w:rsidR="00743E0F">
              <w:rPr>
                <w:rFonts w:ascii="Lato" w:hAnsi="Lato"/>
              </w:rPr>
              <w:t xml:space="preserve"> core User costs</w:t>
            </w:r>
            <w:r w:rsidR="001434E7">
              <w:rPr>
                <w:rFonts w:ascii="Lato" w:hAnsi="Lato"/>
              </w:rPr>
              <w:t xml:space="preserve"> with </w:t>
            </w:r>
            <w:r w:rsidR="00743E0F">
              <w:rPr>
                <w:rFonts w:ascii="Lato" w:hAnsi="Lato"/>
              </w:rPr>
              <w:t xml:space="preserve">a three to four fold increase in </w:t>
            </w:r>
            <w:r w:rsidR="001434E7">
              <w:rPr>
                <w:rFonts w:ascii="Lato" w:hAnsi="Lato"/>
              </w:rPr>
              <w:t>Network</w:t>
            </w:r>
            <w:r w:rsidR="00743E0F">
              <w:rPr>
                <w:rFonts w:ascii="Lato" w:hAnsi="Lato"/>
              </w:rPr>
              <w:t xml:space="preserve"> Operator</w:t>
            </w:r>
            <w:r w:rsidR="001434E7">
              <w:rPr>
                <w:rFonts w:ascii="Lato" w:hAnsi="Lato"/>
              </w:rPr>
              <w:t xml:space="preserve"> fixed charges. These changes could disincentivise Users from innovative use of the network based on the current solution having the following exclusions and limitations which the DCC have ack</w:t>
            </w:r>
            <w:r w:rsidR="009C325F">
              <w:rPr>
                <w:rFonts w:ascii="Lato" w:hAnsi="Lato"/>
              </w:rPr>
              <w:t>nowledged</w:t>
            </w:r>
            <w:r w:rsidR="00216537">
              <w:rPr>
                <w:rFonts w:ascii="Lato" w:hAnsi="Lato"/>
              </w:rPr>
              <w:t xml:space="preserve"> that their charging review</w:t>
            </w:r>
            <w:r w:rsidR="001434E7">
              <w:rPr>
                <w:rFonts w:ascii="Lato" w:hAnsi="Lato"/>
              </w:rPr>
              <w:t>:</w:t>
            </w:r>
          </w:p>
          <w:p w14:paraId="6D84A074" w14:textId="7E25E05F" w:rsidR="001434E7" w:rsidRDefault="001434E7" w:rsidP="001434E7">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is not fully cost reflective of the service Users receive</w:t>
            </w:r>
          </w:p>
          <w:p w14:paraId="095FD0A1" w14:textId="7E87CC0F" w:rsidR="001434E7" w:rsidRDefault="00216537" w:rsidP="001434E7">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does not include modelling for</w:t>
            </w:r>
            <w:r w:rsidR="001434E7">
              <w:rPr>
                <w:rFonts w:ascii="Lato" w:hAnsi="Lato"/>
              </w:rPr>
              <w:t xml:space="preserve"> </w:t>
            </w:r>
            <w:r w:rsidR="009C325F">
              <w:rPr>
                <w:rFonts w:ascii="Lato" w:hAnsi="Lato"/>
              </w:rPr>
              <w:t>dis-incentives</w:t>
            </w:r>
          </w:p>
          <w:p w14:paraId="10886BBA" w14:textId="4DD0EB57" w:rsidR="00C80F4A" w:rsidRDefault="001434E7" w:rsidP="00C80F4A">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analysis of the price cap model </w:t>
            </w:r>
            <w:r w:rsidR="009C325F">
              <w:rPr>
                <w:rFonts w:ascii="Lato" w:hAnsi="Lato"/>
              </w:rPr>
              <w:t>does not capture the impact on non-domestic customers so the impact on customer charges is not clear cut</w:t>
            </w:r>
          </w:p>
          <w:p w14:paraId="4F5FD693" w14:textId="4705117A" w:rsidR="00C80F4A" w:rsidRDefault="00C80F4A" w:rsidP="00C80F4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This re-weighting would also be in the absence of transparent data and evidence being shared with impacted core Users (refer to our response to Question 1)</w:t>
            </w:r>
          </w:p>
          <w:p w14:paraId="1961A49D" w14:textId="77777777" w:rsidR="00E80E53" w:rsidRPr="00C80F4A" w:rsidRDefault="00E80E53" w:rsidP="00C80F4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CB65D75" w14:textId="086D9508" w:rsidR="000B60E4" w:rsidRPr="00216537" w:rsidRDefault="000B60E4" w:rsidP="000B60E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16537">
              <w:rPr>
                <w:rFonts w:ascii="Lato" w:hAnsi="Lato"/>
              </w:rPr>
              <w:t xml:space="preserve">We request the DCC address if </w:t>
            </w:r>
            <w:r w:rsidR="00E80E53">
              <w:rPr>
                <w:rFonts w:ascii="Lato" w:hAnsi="Lato"/>
              </w:rPr>
              <w:t>they</w:t>
            </w:r>
            <w:r w:rsidRPr="00216537">
              <w:rPr>
                <w:rFonts w:ascii="Lato" w:hAnsi="Lato"/>
              </w:rPr>
              <w:t xml:space="preserve"> agree or not </w:t>
            </w:r>
            <w:r w:rsidR="00E80E53">
              <w:rPr>
                <w:rFonts w:ascii="Lato" w:hAnsi="Lato"/>
              </w:rPr>
              <w:t>(</w:t>
            </w:r>
            <w:r w:rsidRPr="00216537">
              <w:rPr>
                <w:rFonts w:ascii="Lato" w:hAnsi="Lato"/>
              </w:rPr>
              <w:t xml:space="preserve">with accompanying rationale) </w:t>
            </w:r>
            <w:r w:rsidR="00E80E53">
              <w:rPr>
                <w:rFonts w:ascii="Lato" w:hAnsi="Lato"/>
              </w:rPr>
              <w:t xml:space="preserve">with </w:t>
            </w:r>
            <w:r w:rsidRPr="00216537">
              <w:rPr>
                <w:rFonts w:ascii="Lato" w:hAnsi="Lato"/>
              </w:rPr>
              <w:t>any collective concerns and common themes raised by Network Operators</w:t>
            </w:r>
            <w:r w:rsidR="00E80E53">
              <w:rPr>
                <w:rFonts w:ascii="Lato" w:hAnsi="Lato"/>
              </w:rPr>
              <w:t xml:space="preserve">. This will </w:t>
            </w:r>
            <w:r w:rsidRPr="00216537">
              <w:rPr>
                <w:rFonts w:ascii="Lato" w:hAnsi="Lato"/>
              </w:rPr>
              <w:t>enable an accurate recording of engagement for the attention of Ofgem when making its final Authority decision on this modification.</w:t>
            </w:r>
          </w:p>
          <w:p w14:paraId="3EBF2CF3" w14:textId="4BDBF0BD" w:rsidR="00312F3A" w:rsidRPr="00B56577" w:rsidRDefault="00312F3A" w:rsidP="0021653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0B60E4"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bookmarkStart w:id="1" w:name="_Hlk189208895"/>
            <w:r w:rsidRPr="00CC4CD9">
              <w:rPr>
                <w:rFonts w:ascii="Lato" w:hAnsi="Lato"/>
                <w:color w:val="auto"/>
              </w:rPr>
              <w:lastRenderedPageBreak/>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7BD0659B" w14:textId="78B1988A" w:rsidR="002430F0" w:rsidRPr="002430F0" w:rsidRDefault="002430F0" w:rsidP="002430F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430F0">
              <w:rPr>
                <w:rFonts w:ascii="Lato" w:hAnsi="Lato"/>
              </w:rPr>
              <w:t xml:space="preserve">No. The DCC acknowledge in the consultation - paragraph 52 second bullet – that their assessment of the impact of an increase in DCC charges to Electricity Distributors may not capture the full impact of the reweighting of fixed charges. Any delta in Electricity Distributors allowed revenues would tend to impact the level of residual charging in the Electricity Distributors charging methodologies. This results in a distribution across final demand users (including domestic and non-domestic) based on the overall expected consumption by each group. The exclusions and limitations of this assessment have not been clearly stated. For example, the DCC further acknowledged, in response to a question, at the DP218 webinar on the 13 January, their analysis of the price cap model does not capture the impact on non-domestic customers and confirmed that the impact on customer charges is not clear cut. </w:t>
            </w:r>
          </w:p>
          <w:p w14:paraId="04D6E6F2" w14:textId="77777777" w:rsidR="002430F0" w:rsidRPr="002430F0" w:rsidRDefault="002430F0" w:rsidP="002430F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43667A4D" w14:textId="77777777" w:rsidR="002430F0" w:rsidRPr="002430F0" w:rsidRDefault="002430F0" w:rsidP="002430F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430F0">
              <w:rPr>
                <w:rFonts w:ascii="Lato" w:hAnsi="Lato"/>
              </w:rPr>
              <w:t>If the purpose of the re-weighting of fixed charges proposals from the DCC is to re-distribute core Users share of paying DCC absolute costs* then there is no actual end consumer savings, as ultimately these costs are funded by consumers via Electricity and Gas Suppliers or Electricity Distributors.</w:t>
            </w:r>
          </w:p>
          <w:p w14:paraId="4D6EB224" w14:textId="77777777" w:rsidR="002430F0" w:rsidRPr="002430F0" w:rsidRDefault="002430F0" w:rsidP="002430F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22D0387A" w14:textId="2AB4E493" w:rsidR="00B81521" w:rsidRPr="00B81521" w:rsidRDefault="002430F0" w:rsidP="002430F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430F0">
              <w:rPr>
                <w:rFonts w:ascii="Lato" w:hAnsi="Lato"/>
              </w:rPr>
              <w:t>*The DCC total reported allowed revenue costs for the RY 24/25 are £728m which is ~20% more than the ~£600m ENWL annual cost to consumers for owning, developing and operating the electricity distribution network that distributes around 10% of Great Britain’s electricity.</w:t>
            </w:r>
          </w:p>
          <w:p w14:paraId="291373CB" w14:textId="77777777" w:rsidR="00B81521" w:rsidRPr="00B81521" w:rsidRDefault="00B81521" w:rsidP="00B8152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B516DD2" w14:textId="5E07FAE4" w:rsidR="00B81521" w:rsidRPr="009C325F" w:rsidRDefault="00B81521" w:rsidP="00B8152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highlight w:val="yellow"/>
              </w:rPr>
            </w:pPr>
          </w:p>
        </w:tc>
      </w:tr>
      <w:bookmarkEnd w:id="1"/>
      <w:tr w:rsidR="000B60E4"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A46743" w:rsidRDefault="00CC4CD9" w:rsidP="00A46743">
            <w:pPr>
              <w:pStyle w:val="TableText-Left"/>
              <w:spacing w:line="276" w:lineRule="auto"/>
              <w:rPr>
                <w:rFonts w:ascii="Lato" w:hAnsi="Lato"/>
                <w:color w:val="auto"/>
              </w:rPr>
            </w:pPr>
            <w:r w:rsidRPr="00A46743">
              <w:rPr>
                <w:rFonts w:ascii="Lato" w:hAnsi="Lato"/>
                <w:color w:val="auto"/>
              </w:rPr>
              <w:lastRenderedPageBreak/>
              <w:t>Q4</w:t>
            </w:r>
          </w:p>
        </w:tc>
        <w:tc>
          <w:tcPr>
            <w:tcW w:w="0" w:type="auto"/>
            <w:vAlign w:val="center"/>
          </w:tcPr>
          <w:p w14:paraId="40173BF5" w14:textId="19E49F57" w:rsidR="00CC4CD9" w:rsidRPr="00A46743" w:rsidRDefault="00CC4CD9" w:rsidP="00A4674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46743">
              <w:rPr>
                <w:rFonts w:ascii="Lato" w:hAnsi="Lato"/>
              </w:rPr>
              <w:t>Do you agree (yes/no) with the rationale and scope for introducing charges for Other Users? Please provide your rationale.</w:t>
            </w:r>
          </w:p>
        </w:tc>
        <w:tc>
          <w:tcPr>
            <w:tcW w:w="0" w:type="auto"/>
            <w:vAlign w:val="center"/>
          </w:tcPr>
          <w:p w14:paraId="56640503" w14:textId="0E2AA76D" w:rsidR="00A46743" w:rsidRPr="00A46743" w:rsidRDefault="00E76A5F" w:rsidP="00A4674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t>
            </w:r>
            <w:r w:rsidR="00E80E53">
              <w:rPr>
                <w:rFonts w:ascii="Lato" w:hAnsi="Lato"/>
              </w:rPr>
              <w:t>understand</w:t>
            </w:r>
            <w:r>
              <w:rPr>
                <w:rFonts w:ascii="Lato" w:hAnsi="Lato"/>
              </w:rPr>
              <w:t xml:space="preserve"> the original</w:t>
            </w:r>
            <w:r w:rsidR="00E80E53">
              <w:rPr>
                <w:rFonts w:ascii="Lato" w:hAnsi="Lato"/>
              </w:rPr>
              <w:t xml:space="preserve"> </w:t>
            </w:r>
            <w:proofErr w:type="spellStart"/>
            <w:r w:rsidR="00E80E53">
              <w:rPr>
                <w:rFonts w:ascii="Lato" w:hAnsi="Lato"/>
              </w:rPr>
              <w:t>SECCo</w:t>
            </w:r>
            <w:proofErr w:type="spellEnd"/>
            <w:r w:rsidR="00E80E53">
              <w:rPr>
                <w:rFonts w:ascii="Lato" w:hAnsi="Lato"/>
              </w:rPr>
              <w:t xml:space="preserve"> board</w:t>
            </w:r>
            <w:r>
              <w:rPr>
                <w:rFonts w:ascii="Lato" w:hAnsi="Lato"/>
              </w:rPr>
              <w:t xml:space="preserve"> trigger of this modification and</w:t>
            </w:r>
            <w:r w:rsidR="00E80E53">
              <w:rPr>
                <w:rFonts w:ascii="Lato" w:hAnsi="Lato"/>
              </w:rPr>
              <w:t xml:space="preserve"> support the</w:t>
            </w:r>
            <w:r>
              <w:rPr>
                <w:rFonts w:ascii="Lato" w:hAnsi="Lato"/>
              </w:rPr>
              <w:t xml:space="preserve"> principle for a review </w:t>
            </w:r>
            <w:r w:rsidR="00B530A1">
              <w:rPr>
                <w:rFonts w:ascii="Lato" w:hAnsi="Lato"/>
              </w:rPr>
              <w:t>for</w:t>
            </w:r>
            <w:r>
              <w:rPr>
                <w:rFonts w:ascii="Lato" w:hAnsi="Lato"/>
              </w:rPr>
              <w:t xml:space="preserve"> O</w:t>
            </w:r>
            <w:r w:rsidR="00A46743">
              <w:rPr>
                <w:rFonts w:ascii="Lato" w:hAnsi="Lato"/>
              </w:rPr>
              <w:t xml:space="preserve">ther </w:t>
            </w:r>
            <w:r>
              <w:rPr>
                <w:rFonts w:ascii="Lato" w:hAnsi="Lato"/>
              </w:rPr>
              <w:t>U</w:t>
            </w:r>
            <w:r w:rsidR="00A46743">
              <w:rPr>
                <w:rFonts w:ascii="Lato" w:hAnsi="Lato"/>
              </w:rPr>
              <w:t>ser</w:t>
            </w:r>
            <w:r>
              <w:rPr>
                <w:rFonts w:ascii="Lato" w:hAnsi="Lato"/>
              </w:rPr>
              <w:t xml:space="preserve"> </w:t>
            </w:r>
            <w:r w:rsidR="00B530A1">
              <w:rPr>
                <w:rFonts w:ascii="Lato" w:hAnsi="Lato"/>
              </w:rPr>
              <w:t xml:space="preserve">to </w:t>
            </w:r>
            <w:r>
              <w:rPr>
                <w:rFonts w:ascii="Lato" w:hAnsi="Lato"/>
              </w:rPr>
              <w:t xml:space="preserve">face charges if it helps to manage </w:t>
            </w:r>
            <w:r w:rsidR="00B530A1">
              <w:rPr>
                <w:rFonts w:ascii="Lato" w:hAnsi="Lato"/>
              </w:rPr>
              <w:t>network capacity issues</w:t>
            </w:r>
            <w:r w:rsidR="00E80E53">
              <w:rPr>
                <w:rFonts w:ascii="Lato" w:hAnsi="Lato"/>
              </w:rPr>
              <w:t xml:space="preserve"> </w:t>
            </w:r>
            <w:r>
              <w:rPr>
                <w:rFonts w:ascii="Lato" w:hAnsi="Lato"/>
              </w:rPr>
              <w:t>which they have generated. The rational being if Other User increase traffic</w:t>
            </w:r>
            <w:r w:rsidR="00A46743">
              <w:rPr>
                <w:rFonts w:ascii="Lato" w:hAnsi="Lato"/>
              </w:rPr>
              <w:t xml:space="preserve"> </w:t>
            </w:r>
            <w:r>
              <w:rPr>
                <w:rFonts w:ascii="Lato" w:hAnsi="Lato"/>
              </w:rPr>
              <w:t xml:space="preserve">and it is </w:t>
            </w:r>
            <w:r w:rsidR="00A46743">
              <w:rPr>
                <w:rFonts w:ascii="Lato" w:hAnsi="Lato"/>
              </w:rPr>
              <w:t>causing noticeable demand on the network it indicate</w:t>
            </w:r>
            <w:r w:rsidR="0019567D">
              <w:rPr>
                <w:rFonts w:ascii="Lato" w:hAnsi="Lato"/>
              </w:rPr>
              <w:t>s</w:t>
            </w:r>
            <w:r w:rsidR="00A46743">
              <w:rPr>
                <w:rFonts w:ascii="Lato" w:hAnsi="Lato"/>
              </w:rPr>
              <w:t xml:space="preserve"> </w:t>
            </w:r>
            <w:r>
              <w:rPr>
                <w:rFonts w:ascii="Lato" w:hAnsi="Lato"/>
              </w:rPr>
              <w:t xml:space="preserve">a </w:t>
            </w:r>
            <w:r w:rsidR="00A46743">
              <w:rPr>
                <w:rFonts w:ascii="Lato" w:hAnsi="Lato"/>
              </w:rPr>
              <w:t xml:space="preserve">potential need to </w:t>
            </w:r>
            <w:r w:rsidR="0019567D">
              <w:rPr>
                <w:rFonts w:ascii="Lato" w:hAnsi="Lato"/>
              </w:rPr>
              <w:t xml:space="preserve">scale up capacity </w:t>
            </w:r>
            <w:r>
              <w:rPr>
                <w:rFonts w:ascii="Lato" w:hAnsi="Lato"/>
              </w:rPr>
              <w:t>at cost and with resource and risk implications</w:t>
            </w:r>
            <w:r w:rsidR="00E80E53">
              <w:rPr>
                <w:rFonts w:ascii="Lato" w:hAnsi="Lato"/>
              </w:rPr>
              <w:t>.</w:t>
            </w:r>
            <w:r w:rsidR="0019567D">
              <w:rPr>
                <w:rFonts w:ascii="Lato" w:hAnsi="Lato"/>
              </w:rPr>
              <w:t xml:space="preserve"> </w:t>
            </w:r>
            <w:r>
              <w:rPr>
                <w:rFonts w:ascii="Lato" w:hAnsi="Lato"/>
              </w:rPr>
              <w:t xml:space="preserve"> However, SEC parties need to have confidence in the DCC data and evidence which underpins any DCC forecasting</w:t>
            </w:r>
            <w:r w:rsidR="00B530A1">
              <w:rPr>
                <w:rFonts w:ascii="Lato" w:hAnsi="Lato"/>
              </w:rPr>
              <w:t xml:space="preserve">/Change 2 proposals </w:t>
            </w:r>
            <w:r>
              <w:rPr>
                <w:rFonts w:ascii="Lato" w:hAnsi="Lato"/>
              </w:rPr>
              <w:t xml:space="preserve">for increased traffic/use of the network by Other </w:t>
            </w:r>
            <w:proofErr w:type="gramStart"/>
            <w:r>
              <w:rPr>
                <w:rFonts w:ascii="Lato" w:hAnsi="Lato"/>
              </w:rPr>
              <w:t>Users,</w:t>
            </w:r>
            <w:r w:rsidR="00B530A1">
              <w:rPr>
                <w:rFonts w:ascii="Lato" w:hAnsi="Lato"/>
              </w:rPr>
              <w:t>.</w:t>
            </w:r>
            <w:proofErr w:type="gramEnd"/>
            <w:r w:rsidR="00B530A1">
              <w:rPr>
                <w:rFonts w:ascii="Lato" w:hAnsi="Lato"/>
              </w:rPr>
              <w:t xml:space="preserve"> Of relevance, refer to our response on Q1 and Q2 regarding our concerns with the evidence and data which under pins the DCC forecasting/Change 1 proposals.</w:t>
            </w:r>
          </w:p>
        </w:tc>
      </w:tr>
      <w:tr w:rsidR="000B60E4"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190CF010" w14:textId="36809513" w:rsidR="00B530A1" w:rsidRDefault="00B530A1"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If the DCC can suitably evidence that Other Users are impacting network capacity the following should be considered in any approach to introducing a new Other User charge:</w:t>
            </w:r>
          </w:p>
          <w:p w14:paraId="4427469C" w14:textId="7DE3CC52" w:rsidR="00B530A1" w:rsidRDefault="00A7653F" w:rsidP="00B530A1">
            <w:pPr>
              <w:pStyle w:val="TableText-Left"/>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increased volume and the impact it </w:t>
            </w:r>
            <w:proofErr w:type="gramStart"/>
            <w:r>
              <w:rPr>
                <w:rFonts w:ascii="Lato" w:hAnsi="Lato"/>
              </w:rPr>
              <w:t>has</w:t>
            </w:r>
            <w:proofErr w:type="gramEnd"/>
            <w:r>
              <w:rPr>
                <w:rFonts w:ascii="Lato" w:hAnsi="Lato"/>
              </w:rPr>
              <w:t xml:space="preserve"> on network at that point; </w:t>
            </w:r>
          </w:p>
          <w:p w14:paraId="74375D89" w14:textId="6C901FF3" w:rsidR="00CC4CD9" w:rsidRPr="00B56577" w:rsidRDefault="00E346EC" w:rsidP="00B530A1">
            <w:pPr>
              <w:pStyle w:val="TableText-Left"/>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general network maintenance, capacity and related upgrades required so network can work optimally </w:t>
            </w:r>
          </w:p>
        </w:tc>
      </w:tr>
      <w:tr w:rsidR="000B60E4"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78B242EA" w14:textId="619BF245" w:rsidR="0019567D" w:rsidRPr="00B56577" w:rsidRDefault="003D21DD" w:rsidP="0019567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variability of how individual Other Users utilise the network may mean they cannot easily use one method over the other</w:t>
            </w:r>
            <w:r w:rsidR="00E80E53">
              <w:rPr>
                <w:rFonts w:ascii="Lato" w:hAnsi="Lato"/>
              </w:rPr>
              <w:t>.</w:t>
            </w:r>
            <w:r w:rsidR="00B530A1">
              <w:rPr>
                <w:rFonts w:ascii="Lato" w:hAnsi="Lato"/>
              </w:rPr>
              <w:t xml:space="preserve"> D</w:t>
            </w:r>
            <w:r>
              <w:rPr>
                <w:rFonts w:ascii="Lato" w:hAnsi="Lato"/>
              </w:rPr>
              <w:t xml:space="preserve">epending on the scenario they </w:t>
            </w:r>
            <w:r w:rsidR="00E80E53">
              <w:rPr>
                <w:rFonts w:ascii="Lato" w:hAnsi="Lato"/>
              </w:rPr>
              <w:t xml:space="preserve">require </w:t>
            </w:r>
            <w:r>
              <w:rPr>
                <w:rFonts w:ascii="Lato" w:hAnsi="Lato"/>
              </w:rPr>
              <w:t>the data for</w:t>
            </w:r>
            <w:r w:rsidR="00B530A1">
              <w:rPr>
                <w:rFonts w:ascii="Lato" w:hAnsi="Lato"/>
              </w:rPr>
              <w:t xml:space="preserve">, </w:t>
            </w:r>
            <w:r>
              <w:rPr>
                <w:rFonts w:ascii="Lato" w:hAnsi="Lato"/>
              </w:rPr>
              <w:t>they may find the restriction of scheduling</w:t>
            </w:r>
            <w:r w:rsidR="00B530A1">
              <w:rPr>
                <w:rFonts w:ascii="Lato" w:hAnsi="Lato"/>
              </w:rPr>
              <w:t>,</w:t>
            </w:r>
            <w:r>
              <w:rPr>
                <w:rFonts w:ascii="Lato" w:hAnsi="Lato"/>
              </w:rPr>
              <w:t xml:space="preserve"> </w:t>
            </w:r>
            <w:r w:rsidR="00B530A1">
              <w:rPr>
                <w:rFonts w:ascii="Lato" w:hAnsi="Lato"/>
              </w:rPr>
              <w:t>does not</w:t>
            </w:r>
            <w:r>
              <w:rPr>
                <w:rFonts w:ascii="Lato" w:hAnsi="Lato"/>
              </w:rPr>
              <w:t xml:space="preserve"> allow for responsive activity</w:t>
            </w:r>
            <w:r w:rsidR="00E80E53">
              <w:rPr>
                <w:rFonts w:ascii="Lato" w:hAnsi="Lato"/>
              </w:rPr>
              <w:t xml:space="preserve"> for their needs</w:t>
            </w:r>
            <w:r>
              <w:rPr>
                <w:rFonts w:ascii="Lato" w:hAnsi="Lato"/>
              </w:rPr>
              <w:t>.</w:t>
            </w:r>
          </w:p>
          <w:p w14:paraId="02DB4C60" w14:textId="270C179D"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0B60E4"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4B562517" w14:textId="4B94D9DB" w:rsidR="0019567D" w:rsidRPr="00B56577" w:rsidRDefault="0019567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w:t>
            </w:r>
            <w:r w:rsidR="00B530A1">
              <w:rPr>
                <w:rFonts w:ascii="Lato" w:hAnsi="Lato"/>
              </w:rPr>
              <w:t xml:space="preserve"> our</w:t>
            </w:r>
            <w:r>
              <w:rPr>
                <w:rFonts w:ascii="Lato" w:hAnsi="Lato"/>
              </w:rPr>
              <w:t xml:space="preserve"> response to Q4</w:t>
            </w:r>
          </w:p>
        </w:tc>
      </w:tr>
      <w:tr w:rsidR="000B60E4"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682DF062" w14:textId="674F4E2F" w:rsidR="00CC4CD9" w:rsidRPr="00B56577" w:rsidRDefault="00E80E53" w:rsidP="00E80E5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our response to Q4</w:t>
            </w:r>
          </w:p>
        </w:tc>
      </w:tr>
      <w:tr w:rsidR="00294417"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294417" w:rsidRPr="00CC4CD9" w:rsidRDefault="00294417" w:rsidP="00294417">
            <w:pPr>
              <w:pStyle w:val="TableText-Left"/>
              <w:spacing w:line="276" w:lineRule="auto"/>
              <w:jc w:val="center"/>
              <w:rPr>
                <w:rFonts w:ascii="Lato" w:hAnsi="Lato"/>
                <w:color w:val="auto"/>
              </w:rPr>
            </w:pPr>
            <w:r w:rsidRPr="00CC4CD9">
              <w:rPr>
                <w:rFonts w:ascii="Lato" w:hAnsi="Lato"/>
                <w:color w:val="auto"/>
              </w:rPr>
              <w:t>Q9</w:t>
            </w:r>
          </w:p>
        </w:tc>
        <w:tc>
          <w:tcPr>
            <w:tcW w:w="0" w:type="auto"/>
            <w:vAlign w:val="center"/>
          </w:tcPr>
          <w:p w14:paraId="444D823F" w14:textId="5DE2454D" w:rsidR="00294417" w:rsidRPr="006E26D9" w:rsidRDefault="00294417" w:rsidP="0029441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10EBC2DF" w14:textId="0A8E3F9A" w:rsidR="00C468DB" w:rsidRPr="00E80E53" w:rsidRDefault="00C468DB" w:rsidP="0029441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0E53">
              <w:rPr>
                <w:rFonts w:ascii="Lato" w:hAnsi="Lato"/>
              </w:rPr>
              <w:t xml:space="preserve">The optimal model would be to allow DCC (or other nominated parties) to schedule retrieval of all half hour consumption from meters, store this data securely, and then provide services to allow all parties to access the data from a central repository without the need to </w:t>
            </w:r>
            <w:proofErr w:type="gramStart"/>
            <w:r w:rsidRPr="00E80E53">
              <w:rPr>
                <w:rFonts w:ascii="Lato" w:hAnsi="Lato"/>
              </w:rPr>
              <w:t>actually contact</w:t>
            </w:r>
            <w:proofErr w:type="gramEnd"/>
            <w:r w:rsidRPr="00E80E53">
              <w:rPr>
                <w:rFonts w:ascii="Lato" w:hAnsi="Lato"/>
              </w:rPr>
              <w:t xml:space="preserve"> the smart meter itself. This would have the significant advantage of reducing CSP network congestion in all regions, improve data retrieval success rates and potentially reduce the amount of new DCC investment required to meet future network capacity needs.</w:t>
            </w:r>
          </w:p>
          <w:p w14:paraId="5DDF8A67" w14:textId="77777777" w:rsidR="00294417" w:rsidRPr="00696AB8" w:rsidRDefault="00294417" w:rsidP="0029441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C8A88B2" w14:textId="263C7F7E" w:rsidR="00294417" w:rsidRPr="00B56577" w:rsidRDefault="00294417" w:rsidP="0029441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6"/>
      <w:footerReference w:type="default" r:id="rId17"/>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FF8C" w14:textId="77777777" w:rsidR="00AD0B6A" w:rsidRDefault="00AD0B6A" w:rsidP="00FA568E">
      <w:pPr>
        <w:spacing w:after="0"/>
      </w:pPr>
      <w:r>
        <w:separator/>
      </w:r>
    </w:p>
  </w:endnote>
  <w:endnote w:type="continuationSeparator" w:id="0">
    <w:p w14:paraId="7FF97F6C" w14:textId="77777777" w:rsidR="00AD0B6A" w:rsidRDefault="00AD0B6A" w:rsidP="00FA568E">
      <w:pPr>
        <w:spacing w:after="0"/>
      </w:pPr>
      <w:r>
        <w:continuationSeparator/>
      </w:r>
    </w:p>
  </w:endnote>
  <w:endnote w:type="continuationNotice" w:id="1">
    <w:p w14:paraId="360C1F06" w14:textId="77777777" w:rsidR="00AD0B6A" w:rsidRDefault="00AD0B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242D3" w14:textId="77777777" w:rsidR="00AD0B6A" w:rsidRDefault="00AD0B6A" w:rsidP="00FA568E">
      <w:pPr>
        <w:spacing w:after="0"/>
      </w:pPr>
      <w:r>
        <w:separator/>
      </w:r>
    </w:p>
  </w:footnote>
  <w:footnote w:type="continuationSeparator" w:id="0">
    <w:p w14:paraId="3FD6EDAF" w14:textId="77777777" w:rsidR="00AD0B6A" w:rsidRDefault="00AD0B6A" w:rsidP="00FA568E">
      <w:pPr>
        <w:spacing w:after="0"/>
      </w:pPr>
      <w:r>
        <w:continuationSeparator/>
      </w:r>
    </w:p>
  </w:footnote>
  <w:footnote w:type="continuationNotice" w:id="1">
    <w:p w14:paraId="652D0C6D" w14:textId="77777777" w:rsidR="00AD0B6A" w:rsidRDefault="00AD0B6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E736CA"/>
    <w:multiLevelType w:val="hybridMultilevel"/>
    <w:tmpl w:val="FFFFFFFF"/>
    <w:lvl w:ilvl="0" w:tplc="FFFFFFFF">
      <w:start w:val="2"/>
      <w:numFmt w:val="decimal"/>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9"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1"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2"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E81063"/>
    <w:multiLevelType w:val="hybridMultilevel"/>
    <w:tmpl w:val="B24E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2"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3"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9"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25D9E"/>
    <w:multiLevelType w:val="hybridMultilevel"/>
    <w:tmpl w:val="02EEA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8A6403"/>
    <w:multiLevelType w:val="hybridMultilevel"/>
    <w:tmpl w:val="3B3835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1A94E94"/>
    <w:multiLevelType w:val="hybridMultilevel"/>
    <w:tmpl w:val="6FF47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B32A2"/>
    <w:multiLevelType w:val="hybridMultilevel"/>
    <w:tmpl w:val="5E348B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35"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2"/>
  </w:num>
  <w:num w:numId="4" w16cid:durableId="1223830764">
    <w:abstractNumId w:val="28"/>
  </w:num>
  <w:num w:numId="5" w16cid:durableId="645664939">
    <w:abstractNumId w:val="34"/>
  </w:num>
  <w:num w:numId="6" w16cid:durableId="546650569">
    <w:abstractNumId w:val="15"/>
  </w:num>
  <w:num w:numId="7" w16cid:durableId="1813059216">
    <w:abstractNumId w:val="8"/>
  </w:num>
  <w:num w:numId="8" w16cid:durableId="2033220966">
    <w:abstractNumId w:val="11"/>
  </w:num>
  <w:num w:numId="9" w16cid:durableId="1914702141">
    <w:abstractNumId w:val="4"/>
  </w:num>
  <w:num w:numId="10" w16cid:durableId="1376851018">
    <w:abstractNumId w:val="13"/>
  </w:num>
  <w:num w:numId="11" w16cid:durableId="1449617638">
    <w:abstractNumId w:val="16"/>
  </w:num>
  <w:num w:numId="12" w16cid:durableId="956641396">
    <w:abstractNumId w:val="21"/>
  </w:num>
  <w:num w:numId="13" w16cid:durableId="348720779">
    <w:abstractNumId w:val="36"/>
  </w:num>
  <w:num w:numId="14" w16cid:durableId="1872722695">
    <w:abstractNumId w:val="1"/>
  </w:num>
  <w:num w:numId="15" w16cid:durableId="1163738551">
    <w:abstractNumId w:val="27"/>
  </w:num>
  <w:num w:numId="16" w16cid:durableId="839321112">
    <w:abstractNumId w:val="24"/>
  </w:num>
  <w:num w:numId="17" w16cid:durableId="1133864700">
    <w:abstractNumId w:val="26"/>
  </w:num>
  <w:num w:numId="18" w16cid:durableId="75637264">
    <w:abstractNumId w:val="12"/>
  </w:num>
  <w:num w:numId="19" w16cid:durableId="1566067005">
    <w:abstractNumId w:val="9"/>
  </w:num>
  <w:num w:numId="20" w16cid:durableId="1428306469">
    <w:abstractNumId w:val="3"/>
  </w:num>
  <w:num w:numId="21" w16cid:durableId="1219786140">
    <w:abstractNumId w:val="14"/>
  </w:num>
  <w:num w:numId="22" w16cid:durableId="553472640">
    <w:abstractNumId w:val="23"/>
  </w:num>
  <w:num w:numId="23" w16cid:durableId="1596669570">
    <w:abstractNumId w:val="22"/>
  </w:num>
  <w:num w:numId="24" w16cid:durableId="1352756592">
    <w:abstractNumId w:val="25"/>
  </w:num>
  <w:num w:numId="25" w16cid:durableId="817653496">
    <w:abstractNumId w:val="29"/>
  </w:num>
  <w:num w:numId="26" w16cid:durableId="223613233">
    <w:abstractNumId w:val="35"/>
  </w:num>
  <w:num w:numId="27" w16cid:durableId="1466005572">
    <w:abstractNumId w:val="10"/>
  </w:num>
  <w:num w:numId="28" w16cid:durableId="505218430">
    <w:abstractNumId w:val="17"/>
  </w:num>
  <w:num w:numId="29" w16cid:durableId="269512693">
    <w:abstractNumId w:val="18"/>
  </w:num>
  <w:num w:numId="30" w16cid:durableId="199167186">
    <w:abstractNumId w:val="7"/>
  </w:num>
  <w:num w:numId="31" w16cid:durableId="1876573710">
    <w:abstractNumId w:val="38"/>
  </w:num>
  <w:num w:numId="32" w16cid:durableId="688145661">
    <w:abstractNumId w:val="5"/>
  </w:num>
  <w:num w:numId="33" w16cid:durableId="1035077202">
    <w:abstractNumId w:val="20"/>
  </w:num>
  <w:num w:numId="34" w16cid:durableId="513805101">
    <w:abstractNumId w:val="37"/>
  </w:num>
  <w:num w:numId="35" w16cid:durableId="833491217">
    <w:abstractNumId w:val="36"/>
  </w:num>
  <w:num w:numId="36" w16cid:durableId="1313607884">
    <w:abstractNumId w:val="36"/>
  </w:num>
  <w:num w:numId="37" w16cid:durableId="1092973961">
    <w:abstractNumId w:val="36"/>
  </w:num>
  <w:num w:numId="38" w16cid:durableId="1889871815">
    <w:abstractNumId w:val="36"/>
  </w:num>
  <w:num w:numId="39" w16cid:durableId="520894978">
    <w:abstractNumId w:val="33"/>
  </w:num>
  <w:num w:numId="40" w16cid:durableId="1363894057">
    <w:abstractNumId w:val="32"/>
  </w:num>
  <w:num w:numId="41" w16cid:durableId="1942954129">
    <w:abstractNumId w:val="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8277620">
    <w:abstractNumId w:val="19"/>
  </w:num>
  <w:num w:numId="43" w16cid:durableId="1170173838">
    <w:abstractNumId w:val="30"/>
  </w:num>
  <w:num w:numId="44" w16cid:durableId="179864365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0E4"/>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ACA"/>
    <w:rsid w:val="000E100A"/>
    <w:rsid w:val="000E14F5"/>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34E7"/>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67D"/>
    <w:rsid w:val="00195A5F"/>
    <w:rsid w:val="0019673C"/>
    <w:rsid w:val="001967E3"/>
    <w:rsid w:val="001968D1"/>
    <w:rsid w:val="0019692C"/>
    <w:rsid w:val="00197DCA"/>
    <w:rsid w:val="00197FB7"/>
    <w:rsid w:val="001A0DF8"/>
    <w:rsid w:val="001A25F1"/>
    <w:rsid w:val="001A2DCA"/>
    <w:rsid w:val="001A3670"/>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0D5"/>
    <w:rsid w:val="0021216F"/>
    <w:rsid w:val="00213626"/>
    <w:rsid w:val="00213EEE"/>
    <w:rsid w:val="002145A5"/>
    <w:rsid w:val="002156BF"/>
    <w:rsid w:val="002158D6"/>
    <w:rsid w:val="00215DEA"/>
    <w:rsid w:val="00215FC3"/>
    <w:rsid w:val="00216537"/>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9EA"/>
    <w:rsid w:val="00241F18"/>
    <w:rsid w:val="002430F0"/>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87E41"/>
    <w:rsid w:val="00290158"/>
    <w:rsid w:val="00291741"/>
    <w:rsid w:val="002931B8"/>
    <w:rsid w:val="00293DE4"/>
    <w:rsid w:val="00293EDE"/>
    <w:rsid w:val="00294005"/>
    <w:rsid w:val="00294417"/>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21DD"/>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97709"/>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43E2"/>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4D4A"/>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3CB"/>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A7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3E0F"/>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08A9"/>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06F3"/>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3A2"/>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2FB8"/>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25F"/>
    <w:rsid w:val="009C335B"/>
    <w:rsid w:val="009C3D84"/>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6743"/>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570E"/>
    <w:rsid w:val="00A6648A"/>
    <w:rsid w:val="00A67AE0"/>
    <w:rsid w:val="00A72136"/>
    <w:rsid w:val="00A75059"/>
    <w:rsid w:val="00A75FEF"/>
    <w:rsid w:val="00A7653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63BE"/>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0B6A"/>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30A1"/>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418"/>
    <w:rsid w:val="00B81521"/>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68DB"/>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0F4A"/>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1178"/>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744"/>
    <w:rsid w:val="00DE289C"/>
    <w:rsid w:val="00DE2DFE"/>
    <w:rsid w:val="00DE3DBD"/>
    <w:rsid w:val="00DE4079"/>
    <w:rsid w:val="00DE422B"/>
    <w:rsid w:val="00DE53CC"/>
    <w:rsid w:val="00DE55E5"/>
    <w:rsid w:val="00DE5A45"/>
    <w:rsid w:val="00DE6915"/>
    <w:rsid w:val="00DE7EED"/>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6EC"/>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6A5F"/>
    <w:rsid w:val="00E77033"/>
    <w:rsid w:val="00E8084B"/>
    <w:rsid w:val="00E80E53"/>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013"/>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084"/>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15:docId w15:val="{AA641E80-721E-4872-AC74-509984560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075397176">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773548521">
      <w:bodyDiv w:val="1"/>
      <w:marLeft w:val="0"/>
      <w:marRight w:val="0"/>
      <w:marTop w:val="0"/>
      <w:marBottom w:val="0"/>
      <w:divBdr>
        <w:top w:val="none" w:sz="0" w:space="0" w:color="auto"/>
        <w:left w:val="none" w:sz="0" w:space="0" w:color="auto"/>
        <w:bottom w:val="none" w:sz="0" w:space="0" w:color="auto"/>
        <w:right w:val="none" w:sz="0" w:space="0" w:color="auto"/>
      </w:divBdr>
    </w:div>
    <w:div w:id="1824618263">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martenergycodecompany.co.uk/modifications/dno-power-outage-alert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martenergycodecompany.co.uk/documents/sec/dp218-modification-report-v0-2/" TargetMode="Externa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NDYQVYFD76VK-1947674797-382</_dlc_DocId>
    <_dlc_DocIdUrl xmlns="a506c0bb-1327-4a28-8c99-5f231145fa20">
      <Url>https://smartdcc.sharepoint.com/sites/DCCChargingReview/_layouts/15/DocIdRedir.aspx?ID=NDYQVYFD76VK-1947674797-382</Url>
      <Description>NDYQVYFD76VK-1947674797-382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2.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4.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5.xml><?xml version="1.0" encoding="utf-8"?>
<ds:datastoreItem xmlns:ds="http://schemas.openxmlformats.org/officeDocument/2006/customXml" ds:itemID="{486A5AB2-237B-408C-93B8-14B0179BEC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1530</Words>
  <Characters>8488</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Watson, Abigail</dc:creator>
  <cp:lastModifiedBy>Duggan, Catherine</cp:lastModifiedBy>
  <cp:revision>2</cp:revision>
  <dcterms:created xsi:type="dcterms:W3CDTF">2025-01-31T10:00:00Z</dcterms:created>
  <dcterms:modified xsi:type="dcterms:W3CDTF">2025-01-31T10:00:00Z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b7d7f8da-d3cc-4105-a791-3a945f0dafc4</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